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5D5F7">
      <w:pPr>
        <w:jc w:val="left"/>
        <w:rPr>
          <w:rFonts w:ascii="仿宋" w:hAnsi="仿宋" w:eastAsia="仿宋" w:cs="Arial"/>
          <w:b/>
          <w:bCs/>
          <w:color w:val="333333"/>
          <w:sz w:val="52"/>
          <w:szCs w:val="52"/>
        </w:rPr>
      </w:pPr>
      <w:bookmarkStart w:id="0" w:name="_GoBack"/>
      <w:bookmarkEnd w:id="0"/>
      <w:r>
        <w:rPr>
          <w:rFonts w:hint="eastAsia" w:ascii="仿宋" w:hAnsi="仿宋" w:eastAsia="仿宋" w:cs="Arial"/>
          <w:b/>
          <w:bCs/>
          <w:color w:val="333333"/>
          <w:sz w:val="52"/>
          <w:szCs w:val="52"/>
        </w:rPr>
        <w:t xml:space="preserve"> 产业用地建设和使用监管协议书</w:t>
      </w:r>
    </w:p>
    <w:p w14:paraId="4AAA75FA">
      <w:pPr>
        <w:jc w:val="left"/>
        <w:rPr>
          <w:rFonts w:ascii="仿宋" w:hAnsi="仿宋" w:eastAsia="仿宋" w:cs="Arial"/>
          <w:color w:val="333333"/>
          <w:sz w:val="32"/>
          <w:szCs w:val="32"/>
        </w:rPr>
      </w:pPr>
    </w:p>
    <w:p w14:paraId="4FA91729">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r>
        <w:rPr>
          <w:rFonts w:hint="eastAsia" w:ascii="仿宋_GB2312" w:hAnsi="仿宋_GB2312" w:eastAsia="仿宋_GB2312"/>
          <w:sz w:val="32"/>
          <w:szCs w:val="24"/>
        </w:rPr>
        <w:t>博罗县科技工业和信息化局</w:t>
      </w:r>
    </w:p>
    <w:p w14:paraId="2A32064E">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授权</w:t>
      </w:r>
      <w:r>
        <w:rPr>
          <w:rFonts w:hint="eastAsia" w:ascii="仿宋_GB2312" w:hAnsi="仿宋_GB2312" w:eastAsia="仿宋_GB2312" w:cs="仿宋_GB2312"/>
          <w:color w:val="auto"/>
          <w:sz w:val="32"/>
          <w:szCs w:val="32"/>
        </w:rPr>
        <w:t xml:space="preserve">代表： </w:t>
      </w:r>
      <w:r>
        <w:rPr>
          <w:rFonts w:hint="eastAsia" w:ascii="仿宋" w:hAnsi="仿宋" w:eastAsia="仿宋" w:cs="Arial"/>
          <w:sz w:val="32"/>
          <w:szCs w:val="32"/>
        </w:rPr>
        <w:t>马艺成</w:t>
      </w:r>
    </w:p>
    <w:p w14:paraId="7B640F2B">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p>
    <w:p w14:paraId="6695A8B0">
      <w:pPr>
        <w:pStyle w:val="2"/>
        <w:rPr>
          <w:rFonts w:hint="eastAsia"/>
        </w:rPr>
      </w:pPr>
    </w:p>
    <w:p w14:paraId="22A7095D">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p>
    <w:p w14:paraId="47EB3214">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统一社会信用代码：</w:t>
      </w:r>
    </w:p>
    <w:p w14:paraId="7C963B91">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法人代表：</w:t>
      </w:r>
    </w:p>
    <w:p w14:paraId="32BEE8F5">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46C84DCD">
      <w:pPr>
        <w:ind w:firstLine="640" w:firstLineChars="200"/>
        <w:jc w:val="left"/>
        <w:rPr>
          <w:rFonts w:hint="eastAsia" w:ascii="仿宋_GB2312" w:hAnsi="仿宋_GB2312" w:eastAsia="仿宋_GB2312" w:cs="仿宋_GB2312"/>
          <w:color w:val="auto"/>
          <w:sz w:val="32"/>
          <w:szCs w:val="32"/>
        </w:rPr>
      </w:pPr>
    </w:p>
    <w:p w14:paraId="7D2E8BF5">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鉴于乙方已于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日成功通过“招拍挂”竞得宗地编号</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博自然资（用地）挂字﹝2024﹞58号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rPr>
        <w:t>国有建设用地使用权</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使用土地性质为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 w:hAnsi="仿宋" w:eastAsia="仿宋" w:cs="Arial"/>
          <w:color w:val="auto"/>
          <w:sz w:val="32"/>
          <w:szCs w:val="32"/>
          <w:u w:val="single"/>
          <w:lang w:val="en-US" w:eastAsia="zh-CN"/>
        </w:rPr>
        <w:t>一类工业用地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，土地出让年限</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rPr>
        <w:t>年（以下简称“本宗地”）。为兑现乙方投资承诺，实现土地的有效利用，本着平等友好、诚信共赢原则，甲乙双方签订本协议，供双方共同遵守。</w:t>
      </w:r>
    </w:p>
    <w:p w14:paraId="4D978291">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第一条  项目概况</w:t>
      </w:r>
    </w:p>
    <w:p w14:paraId="699017EB">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 乙方拟在本宗地投资建设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（以下简称“项目”），项目建成投入使用后主要提供包括但不限于</w:t>
      </w:r>
      <w:r>
        <w:rPr>
          <w:rFonts w:hint="eastAsia" w:ascii="仿宋_GB2312" w:hAnsi="仿宋_GB2312" w:eastAsia="仿宋_GB2312" w:cs="仿宋_GB2312"/>
          <w:color w:val="auto"/>
          <w:sz w:val="32"/>
          <w:szCs w:val="32"/>
          <w:u w:val="single"/>
        </w:rPr>
        <w:t>研发、生产、销售：液态金属材料、液态金属制品、导热材料、导电材料、电磁屏蔽材料、碳纳米材料（以上项目不含危险化学品）；CVD金刚石涂层拉丝模、拉拔模、拉拔套、焊接套、喷嘴、密封环、刀具、金刚石热沉片、CVD钻石等系列产品；CVD金刚石相关技术、产品及设备等</w:t>
      </w:r>
      <w:r>
        <w:rPr>
          <w:rFonts w:hint="eastAsia" w:ascii="仿宋_GB2312" w:hAnsi="仿宋_GB2312" w:eastAsia="仿宋_GB2312" w:cs="仿宋_GB2312"/>
          <w:color w:val="auto"/>
          <w:sz w:val="32"/>
          <w:szCs w:val="32"/>
        </w:rPr>
        <w:t>。原则上自不动产权证证载日期起计，</w:t>
      </w:r>
      <w:r>
        <w:rPr>
          <w:rFonts w:hint="eastAsia" w:ascii="仿宋_GB2312" w:hAnsi="仿宋_GB2312" w:eastAsia="仿宋_GB2312" w:cs="仿宋_GB2312"/>
          <w:color w:val="auto"/>
          <w:sz w:val="32"/>
          <w:szCs w:val="32"/>
          <w:u w:val="single"/>
          <w:lang w:val="en-US" w:eastAsia="zh-CN"/>
        </w:rPr>
        <w:t xml:space="preserve"> 32个月内 </w:t>
      </w:r>
      <w:r>
        <w:rPr>
          <w:rFonts w:hint="eastAsia" w:ascii="仿宋_GB2312" w:hAnsi="仿宋_GB2312" w:eastAsia="仿宋_GB2312" w:cs="仿宋_GB2312"/>
          <w:color w:val="auto"/>
          <w:sz w:val="32"/>
          <w:szCs w:val="32"/>
        </w:rPr>
        <w:t>须全部建成并投入运营，并于投入运营之日起开始计算考核指标。</w:t>
      </w:r>
    </w:p>
    <w:p w14:paraId="02CAC142">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2.乙方在甲方交付土地后即启动项目建设前期相关准备工作，</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个月内实质开展桩基工程建设，</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年内完成厂房竣工验收，厂房竣工验收之日起</w:t>
      </w:r>
      <w:r>
        <w:rPr>
          <w:rFonts w:hint="eastAsia" w:ascii="仿宋_GB2312" w:hAnsi="仿宋_GB2312" w:eastAsia="仿宋_GB2312" w:cs="仿宋_GB2312"/>
          <w:color w:val="auto"/>
          <w:sz w:val="32"/>
          <w:szCs w:val="32"/>
          <w:u w:val="single"/>
          <w:lang w:val="en-US" w:eastAsia="zh-CN"/>
        </w:rPr>
        <w:t xml:space="preserve"> 6 </w:t>
      </w:r>
      <w:r>
        <w:rPr>
          <w:rFonts w:hint="eastAsia" w:ascii="仿宋_GB2312" w:hAnsi="仿宋_GB2312" w:eastAsia="仿宋_GB2312" w:cs="仿宋_GB2312"/>
          <w:color w:val="auto"/>
          <w:sz w:val="32"/>
          <w:szCs w:val="32"/>
        </w:rPr>
        <w:t>个月内正式投产，正式投产之日起</w:t>
      </w:r>
      <w:r>
        <w:rPr>
          <w:rFonts w:hint="eastAsia" w:ascii="仿宋_GB2312" w:hAnsi="仿宋_GB2312" w:eastAsia="仿宋_GB2312" w:cs="仿宋_GB2312"/>
          <w:color w:val="auto"/>
          <w:sz w:val="32"/>
          <w:szCs w:val="32"/>
          <w:u w:val="single"/>
          <w:lang w:val="en-US" w:eastAsia="zh-CN"/>
        </w:rPr>
        <w:t xml:space="preserve"> 36</w:t>
      </w:r>
      <w:r>
        <w:rPr>
          <w:rFonts w:hint="eastAsia" w:ascii="仿宋_GB2312" w:hAnsi="仿宋_GB2312" w:eastAsia="仿宋_GB2312" w:cs="仿宋_GB2312"/>
          <w:color w:val="auto"/>
          <w:sz w:val="32"/>
          <w:szCs w:val="32"/>
        </w:rPr>
        <w:t>个月达产。乙方须按照上述约定时间及投资计划进行项目的投资建设及投产运营。对于以上约定，如有特殊情</w:t>
      </w:r>
      <w:r>
        <w:rPr>
          <w:rFonts w:hint="eastAsia" w:ascii="仿宋_GB2312" w:hAnsi="仿宋_GB2312" w:eastAsia="仿宋_GB2312" w:cs="仿宋_GB2312"/>
          <w:color w:val="auto"/>
          <w:sz w:val="32"/>
          <w:szCs w:val="32"/>
          <w:lang w:eastAsia="zh-CN"/>
        </w:rPr>
        <w:t>况</w:t>
      </w:r>
      <w:r>
        <w:rPr>
          <w:rFonts w:hint="eastAsia" w:ascii="仿宋_GB2312" w:hAnsi="仿宋_GB2312" w:eastAsia="仿宋_GB2312" w:cs="仿宋_GB2312"/>
          <w:color w:val="auto"/>
          <w:sz w:val="32"/>
          <w:szCs w:val="32"/>
        </w:rPr>
        <w:t>时，乙方须提前书面告知甲方并取得甲方的谅解，否则视为违约。</w:t>
      </w:r>
    </w:p>
    <w:p w14:paraId="68EFC011">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3.乙方项目宗地面积约为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2814</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平方米 </w:t>
      </w:r>
      <w:r>
        <w:rPr>
          <w:rFonts w:hint="eastAsia" w:ascii="仿宋_GB2312" w:hAnsi="仿宋_GB2312" w:eastAsia="仿宋_GB2312" w:cs="仿宋_GB2312"/>
          <w:color w:val="auto"/>
          <w:sz w:val="32"/>
          <w:szCs w:val="32"/>
        </w:rPr>
        <w:t>（具体面积等指标以自然资源部门实际挂牌文件为准），容积率不低于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2.0-3.0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投资总额</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sz w:val="32"/>
          <w:szCs w:val="32"/>
          <w:u w:val="single"/>
          <w:lang w:val="en-US" w:eastAsia="zh-CN"/>
        </w:rPr>
        <w:t>0.27</w:t>
      </w:r>
      <w:r>
        <w:rPr>
          <w:rFonts w:hint="eastAsia" w:ascii="仿宋_GB2312" w:hAnsi="仿宋_GB2312" w:eastAsia="仿宋_GB2312" w:cs="仿宋_GB2312"/>
          <w:color w:val="auto"/>
          <w:sz w:val="32"/>
          <w:szCs w:val="32"/>
          <w:u w:val="none"/>
          <w:lang w:val="en-US" w:eastAsia="zh-CN"/>
        </w:rPr>
        <w:t>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。乙方承诺：项目达产后，可实现</w:t>
      </w:r>
      <w:r>
        <w:rPr>
          <w:rFonts w:hint="eastAsia" w:ascii="仿宋_GB2312" w:hAnsi="仿宋_GB2312" w:eastAsia="仿宋_GB2312" w:cs="仿宋_GB2312"/>
          <w:color w:val="auto"/>
          <w:sz w:val="32"/>
          <w:szCs w:val="32"/>
          <w:lang w:val="en-US" w:eastAsia="zh-CN"/>
        </w:rPr>
        <w:t>年土地产值不低于</w:t>
      </w:r>
      <w:r>
        <w:rPr>
          <w:rFonts w:hint="eastAsia" w:ascii="仿宋_GB2312" w:hAnsi="仿宋_GB2312" w:eastAsia="仿宋_GB2312" w:cs="仿宋_GB2312"/>
          <w:color w:val="auto"/>
          <w:sz w:val="32"/>
          <w:szCs w:val="32"/>
          <w:u w:val="single"/>
        </w:rPr>
        <w:t>1200</w:t>
      </w:r>
      <w:r>
        <w:rPr>
          <w:rFonts w:hint="eastAsia" w:ascii="仿宋_GB2312" w:hAnsi="仿宋_GB2312" w:eastAsia="仿宋_GB2312" w:cs="仿宋_GB2312"/>
          <w:color w:val="auto"/>
          <w:sz w:val="32"/>
          <w:szCs w:val="32"/>
          <w:u w:val="none"/>
        </w:rPr>
        <w:t>万元/亩</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lang w:val="en-US" w:eastAsia="zh-CN"/>
        </w:rPr>
        <w:t>固定资产投资强度不低于</w:t>
      </w:r>
      <w:r>
        <w:rPr>
          <w:rFonts w:hint="eastAsia" w:ascii="仿宋_GB2312" w:hAnsi="仿宋_GB2312" w:eastAsia="仿宋_GB2312" w:cs="仿宋_GB2312"/>
          <w:color w:val="auto"/>
          <w:sz w:val="32"/>
          <w:szCs w:val="32"/>
          <w:u w:val="single"/>
          <w:lang w:val="en-US" w:eastAsia="zh-CN"/>
        </w:rPr>
        <w:t>600</w:t>
      </w:r>
      <w:r>
        <w:rPr>
          <w:rFonts w:hint="eastAsia" w:ascii="仿宋_GB2312" w:hAnsi="仿宋_GB2312" w:eastAsia="仿宋_GB2312" w:cs="仿宋_GB2312"/>
          <w:color w:val="auto"/>
          <w:sz w:val="32"/>
          <w:szCs w:val="32"/>
          <w:u w:val="none"/>
          <w:lang w:val="en-US" w:eastAsia="zh-CN"/>
        </w:rPr>
        <w:t xml:space="preserve"> 万元/亩</w:t>
      </w:r>
      <w:r>
        <w:rPr>
          <w:rFonts w:hint="eastAsia" w:ascii="仿宋_GB2312" w:hAnsi="仿宋_GB2312" w:eastAsia="仿宋_GB2312" w:cs="仿宋_GB2312"/>
          <w:color w:val="auto"/>
          <w:sz w:val="32"/>
          <w:szCs w:val="32"/>
          <w:lang w:val="en-US" w:eastAsia="zh-CN"/>
        </w:rPr>
        <w:t>（人民币），年度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u w:val="single"/>
          <w:lang w:val="en-US" w:eastAsia="zh-CN"/>
        </w:rPr>
        <w:t>50</w:t>
      </w:r>
      <w:r>
        <w:rPr>
          <w:rFonts w:hint="eastAsia" w:ascii="仿宋_GB2312" w:hAnsi="仿宋_GB2312" w:eastAsia="仿宋_GB2312" w:cs="仿宋_GB2312"/>
          <w:color w:val="auto"/>
          <w:sz w:val="32"/>
          <w:szCs w:val="32"/>
          <w:u w:val="none"/>
          <w:lang w:val="en-US" w:eastAsia="zh-CN"/>
        </w:rPr>
        <w:t>万元/亩</w:t>
      </w:r>
      <w:r>
        <w:rPr>
          <w:rFonts w:hint="eastAsia" w:ascii="仿宋_GB2312" w:hAnsi="仿宋_GB2312" w:eastAsia="仿宋_GB2312" w:cs="仿宋_GB2312"/>
          <w:color w:val="auto"/>
          <w:sz w:val="32"/>
          <w:szCs w:val="32"/>
          <w:lang w:val="en-US" w:eastAsia="zh-CN"/>
        </w:rPr>
        <w:t>（人民币）。</w:t>
      </w:r>
    </w:p>
    <w:p w14:paraId="1B06F0CC">
      <w:pPr>
        <w:ind w:firstLine="640" w:firstLineChars="200"/>
        <w:jc w:val="both"/>
        <w:rPr>
          <w:rFonts w:hint="eastAsia" w:ascii="仿宋_GB2312" w:hAnsi="仿宋_GB2312" w:eastAsia="仿宋_GB2312" w:cs="仿宋_GB2312"/>
          <w:color w:val="auto"/>
          <w:sz w:val="32"/>
          <w:szCs w:val="32"/>
        </w:rPr>
      </w:pPr>
    </w:p>
    <w:p w14:paraId="363E6ADB">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第二条 甲方权利和义务</w:t>
      </w:r>
    </w:p>
    <w:p w14:paraId="6E1ED373">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甲方应为乙方项目建设、施工及竣工达产等提供全方位指导性服务。</w:t>
      </w:r>
    </w:p>
    <w:p w14:paraId="194760E0">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甲方负责乙方项目竣工验收后的运营监管工作。</w:t>
      </w:r>
    </w:p>
    <w:p w14:paraId="13D2470A">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自项目达产之日起（以乙方向甲方书面报告时间为准），</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可自行或委托专业机构对乙方承诺单位</w:t>
      </w:r>
      <w:r>
        <w:rPr>
          <w:rFonts w:hint="eastAsia" w:ascii="仿宋_GB2312" w:hAnsi="仿宋_GB2312" w:eastAsia="仿宋_GB2312" w:cs="仿宋_GB2312"/>
          <w:color w:val="auto"/>
          <w:sz w:val="32"/>
          <w:szCs w:val="32"/>
          <w:lang w:val="en-US" w:eastAsia="zh-CN"/>
        </w:rPr>
        <w:t>土地面积上的</w:t>
      </w:r>
      <w:r>
        <w:rPr>
          <w:rFonts w:hint="eastAsia" w:ascii="仿宋_GB2312" w:hAnsi="仿宋_GB2312" w:eastAsia="仿宋_GB2312" w:cs="仿宋_GB2312"/>
          <w:color w:val="auto"/>
          <w:sz w:val="32"/>
          <w:szCs w:val="32"/>
        </w:rPr>
        <w:t>固定资产投资强度、</w:t>
      </w:r>
      <w:r>
        <w:rPr>
          <w:rFonts w:hint="eastAsia" w:ascii="仿宋_GB2312" w:hAnsi="仿宋_GB2312" w:eastAsia="仿宋_GB2312" w:cs="仿宋_GB2312"/>
          <w:color w:val="auto"/>
          <w:sz w:val="32"/>
          <w:szCs w:val="32"/>
          <w:lang w:val="en-US" w:eastAsia="zh-CN"/>
        </w:rPr>
        <w:t>年度税收</w:t>
      </w:r>
      <w:r>
        <w:rPr>
          <w:rFonts w:hint="eastAsia" w:ascii="仿宋_GB2312" w:hAnsi="仿宋_GB2312" w:eastAsia="仿宋_GB2312" w:cs="仿宋_GB2312"/>
          <w:color w:val="auto"/>
          <w:sz w:val="32"/>
          <w:szCs w:val="32"/>
        </w:rPr>
        <w:t>等进行核查（乙方可自行选择</w:t>
      </w:r>
      <w:r>
        <w:rPr>
          <w:rFonts w:hint="eastAsia" w:ascii="仿宋_GB2312" w:hAnsi="仿宋_GB2312" w:eastAsia="仿宋_GB2312" w:cs="仿宋_GB2312"/>
          <w:color w:val="auto"/>
          <w:sz w:val="32"/>
          <w:szCs w:val="32"/>
          <w:lang w:eastAsia="zh-CN"/>
        </w:rPr>
        <w:t>自达产之日起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年间</w:t>
      </w:r>
      <w:r>
        <w:rPr>
          <w:rFonts w:hint="eastAsia" w:ascii="仿宋_GB2312" w:hAnsi="仿宋_GB2312" w:eastAsia="仿宋_GB2312" w:cs="仿宋_GB2312"/>
          <w:color w:val="auto"/>
          <w:sz w:val="32"/>
          <w:szCs w:val="32"/>
          <w:lang w:eastAsia="zh-CN"/>
        </w:rPr>
        <w:t>最高的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年的</w:t>
      </w:r>
      <w:r>
        <w:rPr>
          <w:rFonts w:hint="eastAsia" w:ascii="仿宋_GB2312" w:hAnsi="仿宋_GB2312" w:eastAsia="仿宋_GB2312" w:cs="仿宋_GB2312"/>
          <w:color w:val="auto"/>
          <w:sz w:val="32"/>
          <w:szCs w:val="32"/>
          <w:lang w:eastAsia="zh-CN"/>
        </w:rPr>
        <w:t>平均数</w:t>
      </w:r>
      <w:r>
        <w:rPr>
          <w:rFonts w:hint="eastAsia" w:ascii="仿宋_GB2312" w:hAnsi="仿宋_GB2312" w:eastAsia="仿宋_GB2312" w:cs="仿宋_GB2312"/>
          <w:color w:val="auto"/>
          <w:sz w:val="32"/>
          <w:szCs w:val="32"/>
        </w:rPr>
        <w:t>提供给甲方核查）。</w:t>
      </w:r>
    </w:p>
    <w:p w14:paraId="300FBD02">
      <w:pPr>
        <w:ind w:firstLine="640" w:firstLineChars="200"/>
        <w:jc w:val="both"/>
        <w:rPr>
          <w:rFonts w:hint="eastAsia" w:ascii="仿宋_GB2312" w:hAnsi="仿宋_GB2312" w:eastAsia="仿宋_GB2312" w:cs="仿宋_GB2312"/>
          <w:color w:val="auto"/>
          <w:sz w:val="32"/>
          <w:szCs w:val="32"/>
        </w:rPr>
      </w:pPr>
    </w:p>
    <w:p w14:paraId="753A5824">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第三条  乙方权利和义务</w:t>
      </w:r>
    </w:p>
    <w:p w14:paraId="073A36FE">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乙方承诺本宗地只能用于本协议第一条约定的项目建设。</w:t>
      </w:r>
    </w:p>
    <w:p w14:paraId="595A08EB">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乙方或项目公司须保证项目的开工、建设及运营符合项目所在地行政职能部门的审批、备案等行政手续，依法建设，依法运营。</w:t>
      </w:r>
    </w:p>
    <w:p w14:paraId="0DFB804F">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乙方项目达产后1个月内，须书面向甲方报告达产时间及生产经营情况。</w:t>
      </w:r>
    </w:p>
    <w:p w14:paraId="5B5E25DE">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4.乙方签署本协议之日起，企业注册地10年内不得变更到博罗县以外的地区。</w:t>
      </w:r>
    </w:p>
    <w:p w14:paraId="5951466D">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5.本协议生效后，未经甲方书面批准，乙方或项目公司不得将项目整体转让或者部分转让。</w:t>
      </w:r>
    </w:p>
    <w:p w14:paraId="31719036">
      <w:pPr>
        <w:ind w:firstLine="640" w:firstLineChars="200"/>
        <w:jc w:val="both"/>
        <w:rPr>
          <w:rFonts w:hint="eastAsia" w:ascii="仿宋_GB2312" w:hAnsi="仿宋_GB2312" w:eastAsia="仿宋_GB2312" w:cs="仿宋_GB2312"/>
          <w:color w:val="auto"/>
          <w:sz w:val="32"/>
          <w:szCs w:val="32"/>
        </w:rPr>
      </w:pPr>
    </w:p>
    <w:p w14:paraId="31C708C0">
      <w:p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第四条  违约责任</w:t>
      </w:r>
    </w:p>
    <w:p w14:paraId="0403F009">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如乙方违反本协议之约定，应承担以下违约责任：</w:t>
      </w:r>
    </w:p>
    <w:p w14:paraId="53061F77">
      <w:pPr>
        <w:numPr>
          <w:ilvl w:val="0"/>
          <w:numId w:val="1"/>
        </w:num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经甲方核查，乙方项目达产后</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税收达不到本协议约定要求的，自甲方出具核查不合格通知书之日起20日内，乙方</w:t>
      </w:r>
      <w:r>
        <w:rPr>
          <w:rFonts w:hint="eastAsia" w:ascii="仿宋_GB2312" w:hAnsi="仿宋_GB2312" w:eastAsia="仿宋_GB2312" w:cs="仿宋_GB2312"/>
          <w:color w:val="auto"/>
          <w:sz w:val="32"/>
          <w:szCs w:val="32"/>
          <w:lang w:eastAsia="zh-CN"/>
        </w:rPr>
        <w:t>按投资承诺以下</w:t>
      </w:r>
      <w:r>
        <w:rPr>
          <w:rFonts w:hint="eastAsia" w:ascii="仿宋_GB2312" w:hAnsi="仿宋_GB2312" w:eastAsia="仿宋_GB2312" w:cs="仿宋_GB2312"/>
          <w:color w:val="auto"/>
          <w:sz w:val="32"/>
          <w:szCs w:val="32"/>
        </w:rPr>
        <w:t>列方式</w:t>
      </w:r>
      <w:r>
        <w:rPr>
          <w:rFonts w:hint="eastAsia" w:ascii="仿宋_GB2312" w:hAnsi="仿宋_GB2312" w:eastAsia="仿宋_GB2312" w:cs="仿宋_GB2312"/>
          <w:color w:val="auto"/>
          <w:sz w:val="32"/>
          <w:szCs w:val="32"/>
          <w:lang w:eastAsia="zh-CN"/>
        </w:rPr>
        <w:t>一次性补偿基础设施费</w:t>
      </w:r>
      <w:r>
        <w:rPr>
          <w:rFonts w:hint="eastAsia" w:ascii="仿宋_GB2312" w:hAnsi="仿宋_GB2312" w:eastAsia="仿宋_GB2312" w:cs="仿宋_GB2312"/>
          <w:color w:val="auto"/>
          <w:sz w:val="32"/>
          <w:szCs w:val="32"/>
        </w:rPr>
        <w:t>，即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达产后</w:t>
      </w:r>
      <w:r>
        <w:rPr>
          <w:rFonts w:hint="eastAsia" w:ascii="仿宋_GB2312" w:hAnsi="仿宋_GB2312" w:eastAsia="仿宋_GB2312" w:cs="仿宋_GB2312"/>
          <w:color w:val="auto"/>
          <w:sz w:val="32"/>
          <w:szCs w:val="32"/>
          <w:lang w:eastAsia="zh-CN"/>
        </w:rPr>
        <w:t>约定</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达产后实际</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*县留存比例</w:t>
      </w:r>
      <w:r>
        <w:rPr>
          <w:rFonts w:hint="eastAsia" w:ascii="仿宋_GB2312" w:hAnsi="仿宋_GB2312" w:eastAsia="仿宋_GB2312" w:cs="仿宋_GB2312"/>
          <w:color w:val="auto"/>
          <w:sz w:val="32"/>
          <w:szCs w:val="32"/>
          <w:lang w:eastAsia="zh-CN"/>
        </w:rPr>
        <w:t>。</w:t>
      </w:r>
    </w:p>
    <w:p w14:paraId="1D2BD446">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第五条 争议解决方式</w:t>
      </w:r>
    </w:p>
    <w:p w14:paraId="55CEBE34">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凡因本协议引起的任何争议，由双方协商解决；协商不成，双方均可向甲方所在地法院提起诉讼。</w:t>
      </w:r>
    </w:p>
    <w:p w14:paraId="775EF0BD">
      <w:pPr>
        <w:ind w:firstLine="640" w:firstLineChars="200"/>
        <w:jc w:val="left"/>
        <w:rPr>
          <w:rFonts w:hint="eastAsia" w:ascii="仿宋_GB2312" w:hAnsi="仿宋_GB2312" w:eastAsia="仿宋_GB2312" w:cs="仿宋_GB2312"/>
          <w:color w:val="auto"/>
          <w:sz w:val="32"/>
          <w:szCs w:val="32"/>
        </w:rPr>
      </w:pPr>
    </w:p>
    <w:p w14:paraId="14659131">
      <w:p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第六条 协议书效力</w:t>
      </w:r>
    </w:p>
    <w:p w14:paraId="248683E6">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本协议一式</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份，具有同等法律效力，甲</w:t>
      </w:r>
      <w:r>
        <w:rPr>
          <w:rFonts w:hint="eastAsia" w:ascii="仿宋_GB2312" w:hAnsi="仿宋_GB2312" w:eastAsia="仿宋_GB2312" w:cs="仿宋_GB2312"/>
          <w:color w:val="auto"/>
          <w:sz w:val="32"/>
          <w:szCs w:val="32"/>
          <w:lang w:val="en-US" w:eastAsia="zh-CN"/>
        </w:rPr>
        <w:t>方执三份，</w:t>
      </w:r>
      <w:r>
        <w:rPr>
          <w:rFonts w:hint="eastAsia" w:ascii="仿宋_GB2312" w:hAnsi="仿宋_GB2312" w:eastAsia="仿宋_GB2312" w:cs="仿宋_GB2312"/>
          <w:color w:val="auto"/>
          <w:sz w:val="32"/>
          <w:szCs w:val="32"/>
        </w:rPr>
        <w:t>乙双方执二份</w:t>
      </w:r>
      <w:r>
        <w:rPr>
          <w:rFonts w:hint="eastAsia" w:ascii="仿宋_GB2312" w:hAnsi="仿宋_GB2312" w:eastAsia="仿宋_GB2312" w:cs="仿宋_GB2312"/>
          <w:color w:val="auto"/>
          <w:sz w:val="32"/>
          <w:szCs w:val="32"/>
          <w:lang w:eastAsia="zh-CN"/>
        </w:rPr>
        <w:t>。本协议有效期</w:t>
      </w:r>
      <w:r>
        <w:rPr>
          <w:rFonts w:hint="eastAsia" w:ascii="仿宋_GB2312" w:hAnsi="仿宋_GB2312" w:eastAsia="仿宋_GB2312" w:cs="仿宋_GB2312"/>
          <w:color w:val="auto"/>
          <w:sz w:val="32"/>
          <w:szCs w:val="32"/>
          <w:lang w:val="en-US" w:eastAsia="zh-CN"/>
        </w:rPr>
        <w:t>10年，</w:t>
      </w:r>
      <w:r>
        <w:rPr>
          <w:rFonts w:hint="eastAsia" w:ascii="仿宋_GB2312" w:hAnsi="仿宋_GB2312" w:eastAsia="仿宋_GB2312" w:cs="仿宋_GB2312"/>
          <w:color w:val="auto"/>
          <w:sz w:val="32"/>
          <w:szCs w:val="32"/>
        </w:rPr>
        <w:t>自甲乙双方签字盖章之日起生效。</w:t>
      </w:r>
    </w:p>
    <w:p w14:paraId="5CBCE1FA">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本协议未尽事宜，经双方协商一致，可另行签订补充协议，补充协议与本协议具有同等法律效力。</w:t>
      </w:r>
    </w:p>
    <w:p w14:paraId="38ADF425">
      <w:pPr>
        <w:ind w:firstLine="640" w:firstLineChars="200"/>
        <w:jc w:val="both"/>
        <w:rPr>
          <w:rFonts w:hint="eastAsia" w:ascii="仿宋_GB2312" w:hAnsi="仿宋_GB2312" w:eastAsia="仿宋_GB2312" w:cs="仿宋_GB2312"/>
          <w:color w:val="auto"/>
          <w:sz w:val="32"/>
          <w:szCs w:val="32"/>
        </w:rPr>
      </w:pPr>
    </w:p>
    <w:p w14:paraId="3DCEB5D5">
      <w:pPr>
        <w:numPr>
          <w:ilvl w:val="0"/>
          <w:numId w:val="2"/>
        </w:num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通知与送达方式</w:t>
      </w:r>
    </w:p>
    <w:p w14:paraId="7C24D922">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14:paraId="1CAAD08E">
      <w:pPr>
        <w:ind w:firstLine="640" w:firstLineChars="200"/>
        <w:jc w:val="left"/>
        <w:rPr>
          <w:rFonts w:hint="eastAsia" w:ascii="仿宋_GB2312" w:hAnsi="仿宋_GB2312" w:eastAsia="仿宋_GB2312" w:cs="仿宋_GB2312"/>
          <w:color w:val="auto"/>
          <w:sz w:val="32"/>
          <w:szCs w:val="32"/>
        </w:rPr>
      </w:pPr>
    </w:p>
    <w:p w14:paraId="74BAF796">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14:paraId="074EF6BE">
      <w:pPr>
        <w:jc w:val="left"/>
        <w:rPr>
          <w:rFonts w:hint="eastAsia" w:ascii="仿宋_GB2312" w:hAnsi="仿宋_GB2312" w:eastAsia="仿宋_GB2312" w:cs="仿宋_GB2312"/>
          <w:color w:val="auto"/>
          <w:sz w:val="32"/>
          <w:szCs w:val="32"/>
        </w:rPr>
      </w:pPr>
    </w:p>
    <w:p w14:paraId="5FE2060A">
      <w:pPr>
        <w:jc w:val="left"/>
        <w:rPr>
          <w:rFonts w:hint="eastAsia" w:ascii="仿宋_GB2312" w:hAnsi="仿宋_GB2312" w:eastAsia="仿宋_GB2312" w:cs="仿宋_GB2312"/>
          <w:color w:val="auto"/>
          <w:sz w:val="32"/>
          <w:szCs w:val="32"/>
        </w:rPr>
      </w:pPr>
    </w:p>
    <w:p w14:paraId="39DA9983">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甲方（公章）：                 乙方（盖章）：</w:t>
      </w:r>
    </w:p>
    <w:p w14:paraId="36B06D73">
      <w:pPr>
        <w:jc w:val="left"/>
        <w:rPr>
          <w:rFonts w:hint="eastAsia" w:ascii="仿宋_GB2312" w:hAnsi="仿宋_GB2312" w:eastAsia="仿宋_GB2312" w:cs="仿宋_GB2312"/>
          <w:color w:val="auto"/>
          <w:sz w:val="32"/>
          <w:szCs w:val="32"/>
        </w:rPr>
      </w:pPr>
    </w:p>
    <w:p w14:paraId="519FA57E">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代表（签字）：                 代表人（签字）：</w:t>
      </w:r>
    </w:p>
    <w:p w14:paraId="475664C8">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287CF832">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            日期：  年  月  日</w:t>
      </w:r>
    </w:p>
    <w:p w14:paraId="64F2D4A2">
      <w:pPr>
        <w:jc w:val="left"/>
        <w:rPr>
          <w:rFonts w:hint="eastAsia" w:ascii="仿宋_GB2312" w:hAnsi="仿宋_GB2312" w:eastAsia="仿宋_GB2312" w:cs="仿宋_GB2312"/>
          <w:color w:val="auto"/>
          <w:sz w:val="32"/>
          <w:szCs w:val="32"/>
        </w:rPr>
      </w:pPr>
    </w:p>
    <w:p w14:paraId="3544D722">
      <w:pPr>
        <w:jc w:val="left"/>
        <w:rPr>
          <w:rFonts w:hint="eastAsia" w:ascii="仿宋_GB2312" w:hAnsi="仿宋_GB2312" w:eastAsia="仿宋_GB2312" w:cs="仿宋_GB2312"/>
          <w:color w:val="auto"/>
          <w:sz w:val="32"/>
          <w:szCs w:val="32"/>
        </w:rPr>
      </w:pPr>
    </w:p>
    <w:p w14:paraId="618FC9B4">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甲方送达方式如下               乙方送达方式如下</w:t>
      </w:r>
    </w:p>
    <w:p w14:paraId="42D6CA96">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电子邮箱：                     电子邮箱：                       </w:t>
      </w:r>
    </w:p>
    <w:p w14:paraId="39B95D23">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联系地址：                     联系地址：                      </w:t>
      </w:r>
    </w:p>
    <w:p w14:paraId="0E323D53">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传真：                         传真：                                        </w:t>
      </w:r>
    </w:p>
    <w:p w14:paraId="1DA479E1">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                       联系人：</w:t>
      </w:r>
    </w:p>
    <w:p w14:paraId="53AAD4FD">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0D88A">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8C28D3">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08C28D3">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ODM5ODdkYThjNmUyNmY1NDczODU1Mjg5ODM3MmYifQ=="/>
  </w:docVars>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B3FC6"/>
    <w:rsid w:val="00FC00F2"/>
    <w:rsid w:val="01AE6FDA"/>
    <w:rsid w:val="03AF17F8"/>
    <w:rsid w:val="04853F9C"/>
    <w:rsid w:val="05454B09"/>
    <w:rsid w:val="06C37244"/>
    <w:rsid w:val="06EA07BD"/>
    <w:rsid w:val="073C0532"/>
    <w:rsid w:val="089260C7"/>
    <w:rsid w:val="09153D40"/>
    <w:rsid w:val="09B6085E"/>
    <w:rsid w:val="0AA57B61"/>
    <w:rsid w:val="0B0E5A49"/>
    <w:rsid w:val="0C742940"/>
    <w:rsid w:val="0D096354"/>
    <w:rsid w:val="0F605FF0"/>
    <w:rsid w:val="0F7647B4"/>
    <w:rsid w:val="109F32A2"/>
    <w:rsid w:val="10D90D96"/>
    <w:rsid w:val="10FB725B"/>
    <w:rsid w:val="11A96F5F"/>
    <w:rsid w:val="12FC44E0"/>
    <w:rsid w:val="13225CD9"/>
    <w:rsid w:val="14C70D71"/>
    <w:rsid w:val="16273163"/>
    <w:rsid w:val="16284AA0"/>
    <w:rsid w:val="174E545D"/>
    <w:rsid w:val="18031C72"/>
    <w:rsid w:val="18867AFC"/>
    <w:rsid w:val="190139F2"/>
    <w:rsid w:val="19354D94"/>
    <w:rsid w:val="19D062B4"/>
    <w:rsid w:val="1B9548CD"/>
    <w:rsid w:val="1BB0704B"/>
    <w:rsid w:val="1C317426"/>
    <w:rsid w:val="1C611AD6"/>
    <w:rsid w:val="1D5D4A42"/>
    <w:rsid w:val="1DAC6A68"/>
    <w:rsid w:val="1DBA6C45"/>
    <w:rsid w:val="1DED516F"/>
    <w:rsid w:val="1F246BBB"/>
    <w:rsid w:val="20934BA0"/>
    <w:rsid w:val="21BB3A04"/>
    <w:rsid w:val="21D45B24"/>
    <w:rsid w:val="22373F2C"/>
    <w:rsid w:val="223932CB"/>
    <w:rsid w:val="225C0E0C"/>
    <w:rsid w:val="25145B3D"/>
    <w:rsid w:val="251D7E5E"/>
    <w:rsid w:val="26B22A7B"/>
    <w:rsid w:val="28B50087"/>
    <w:rsid w:val="29CF60A3"/>
    <w:rsid w:val="2A82618E"/>
    <w:rsid w:val="2AAD53F3"/>
    <w:rsid w:val="2B090704"/>
    <w:rsid w:val="2B921FA4"/>
    <w:rsid w:val="2B9E3B3E"/>
    <w:rsid w:val="2C3B26C9"/>
    <w:rsid w:val="2C5509C3"/>
    <w:rsid w:val="2CD3170B"/>
    <w:rsid w:val="2D770135"/>
    <w:rsid w:val="2F720926"/>
    <w:rsid w:val="305610AA"/>
    <w:rsid w:val="31526B7D"/>
    <w:rsid w:val="323245A1"/>
    <w:rsid w:val="33F0055A"/>
    <w:rsid w:val="35747D82"/>
    <w:rsid w:val="35AE6450"/>
    <w:rsid w:val="364A2A2C"/>
    <w:rsid w:val="3708183A"/>
    <w:rsid w:val="38501441"/>
    <w:rsid w:val="38865A5A"/>
    <w:rsid w:val="38EA0311"/>
    <w:rsid w:val="3970453B"/>
    <w:rsid w:val="39804CED"/>
    <w:rsid w:val="3ACF40C7"/>
    <w:rsid w:val="3B5D31DA"/>
    <w:rsid w:val="3BD845F1"/>
    <w:rsid w:val="3BEA777F"/>
    <w:rsid w:val="3C303B4D"/>
    <w:rsid w:val="3C5D7BC2"/>
    <w:rsid w:val="3D9271F1"/>
    <w:rsid w:val="3E443641"/>
    <w:rsid w:val="3E4671B3"/>
    <w:rsid w:val="3EFE4213"/>
    <w:rsid w:val="3F520688"/>
    <w:rsid w:val="3FB2071B"/>
    <w:rsid w:val="402A1091"/>
    <w:rsid w:val="41536AE4"/>
    <w:rsid w:val="41A30980"/>
    <w:rsid w:val="41BC39F2"/>
    <w:rsid w:val="448408B4"/>
    <w:rsid w:val="44CA3F18"/>
    <w:rsid w:val="45135758"/>
    <w:rsid w:val="45DE4434"/>
    <w:rsid w:val="461D0AA5"/>
    <w:rsid w:val="47AC4FA4"/>
    <w:rsid w:val="48052D72"/>
    <w:rsid w:val="487B755A"/>
    <w:rsid w:val="488B7004"/>
    <w:rsid w:val="4A0E6BB5"/>
    <w:rsid w:val="4A304FB5"/>
    <w:rsid w:val="4A834031"/>
    <w:rsid w:val="4B373F9C"/>
    <w:rsid w:val="4B8378B8"/>
    <w:rsid w:val="4BC27CD0"/>
    <w:rsid w:val="4BC64786"/>
    <w:rsid w:val="4BDB2055"/>
    <w:rsid w:val="4D9721AF"/>
    <w:rsid w:val="4EA17D73"/>
    <w:rsid w:val="4EB77D91"/>
    <w:rsid w:val="51F75E40"/>
    <w:rsid w:val="5303680F"/>
    <w:rsid w:val="541A488A"/>
    <w:rsid w:val="544C5A47"/>
    <w:rsid w:val="54C74F93"/>
    <w:rsid w:val="565D3312"/>
    <w:rsid w:val="568A688B"/>
    <w:rsid w:val="56D30DAA"/>
    <w:rsid w:val="56E036DE"/>
    <w:rsid w:val="57371331"/>
    <w:rsid w:val="58155B0C"/>
    <w:rsid w:val="589457E3"/>
    <w:rsid w:val="59227F7A"/>
    <w:rsid w:val="5B7C42D7"/>
    <w:rsid w:val="5B88112E"/>
    <w:rsid w:val="5C881555"/>
    <w:rsid w:val="5C970D98"/>
    <w:rsid w:val="5CF32F48"/>
    <w:rsid w:val="5CFF157D"/>
    <w:rsid w:val="5E5F6A0E"/>
    <w:rsid w:val="5E8E54B9"/>
    <w:rsid w:val="5EDB70DB"/>
    <w:rsid w:val="5F9651FA"/>
    <w:rsid w:val="5FE00A07"/>
    <w:rsid w:val="615A6F19"/>
    <w:rsid w:val="61871CC8"/>
    <w:rsid w:val="618F6C13"/>
    <w:rsid w:val="623D6B40"/>
    <w:rsid w:val="640D1C21"/>
    <w:rsid w:val="641810B4"/>
    <w:rsid w:val="64397DDA"/>
    <w:rsid w:val="65017FD4"/>
    <w:rsid w:val="672236A1"/>
    <w:rsid w:val="68D0020D"/>
    <w:rsid w:val="68F66D0E"/>
    <w:rsid w:val="696778D4"/>
    <w:rsid w:val="69993174"/>
    <w:rsid w:val="6AEF79A2"/>
    <w:rsid w:val="6B0F746A"/>
    <w:rsid w:val="6B8E6ABB"/>
    <w:rsid w:val="6C8211A2"/>
    <w:rsid w:val="6CAB7FCE"/>
    <w:rsid w:val="6DC36396"/>
    <w:rsid w:val="6EC41E14"/>
    <w:rsid w:val="6F522F8D"/>
    <w:rsid w:val="6FAB59F3"/>
    <w:rsid w:val="70CC701F"/>
    <w:rsid w:val="71535DA0"/>
    <w:rsid w:val="71664424"/>
    <w:rsid w:val="726309DB"/>
    <w:rsid w:val="75722252"/>
    <w:rsid w:val="76606B4D"/>
    <w:rsid w:val="76876E6B"/>
    <w:rsid w:val="78B36EFA"/>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1664</Words>
  <Characters>1724</Characters>
  <Lines>16</Lines>
  <Paragraphs>4</Paragraphs>
  <TotalTime>1</TotalTime>
  <ScaleCrop>false</ScaleCrop>
  <LinksUpToDate>false</LinksUpToDate>
  <CharactersWithSpaces>2100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钟.嘉祥</cp:lastModifiedBy>
  <cp:lastPrinted>2021-12-03T07:33:00Z</cp:lastPrinted>
  <dcterms:modified xsi:type="dcterms:W3CDTF">2024-11-13T09:01:02Z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C62C7C90CFB9472FAF607ECA71867371</vt:lpwstr>
  </property>
</Properties>
</file>